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 в сети интернет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«Планирование рекламных и PR- кампаний в сети интернет».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717.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«Планирование рекламных и PR-кампаний в сети интернет»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 Интернет-технологии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Интернет-маркетинга</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Интернет коммуникации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новые способы формирования коммуникационной политики предприятия в сети Интернет</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Мобильный интернет.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рекламной кампании в среде Интернет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оптимизации продвижения в Интернете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Интерактивный Интернет маркетинг</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Приложения и игры, ролики. Понятие, сущность и преимущества контекстной рекламы.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ведения контекстной рекламной кампании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основных социальных сетей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Twitter. Вконтакте. Facebook. Однокласники. Понятие и сущность блога и портала. Разновидности блога: Livejournal, Liveinternet, корпоративный блог.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продвижения в социальных сетях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планирование кампании и оценка трафика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Алашкин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Всё</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рекламе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продвижении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978-5-9614-1055-6.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http://www.iprbookshop.ru/86863.html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Шпаковский,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Розенберг,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978-5-9729-0202-6.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http://www.iprbookshop.ru/78258.html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Продвижение</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сетях</w:t>
            </w:r>
            <w:r>
              <w:rPr/>
              <w:t xml:space="preserve"> </w:t>
            </w:r>
            <w:r>
              <w:rPr>
                <w:rFonts w:ascii="Times New Roman" w:hAnsi="Times New Roman" w:cs="Times New Roman"/>
                <w:color w:val="#000000"/>
                <w:sz w:val="24"/>
                <w:szCs w:val="24"/>
              </w:rPr>
              <w:t>Facebook,</w:t>
            </w:r>
            <w:r>
              <w:rPr/>
              <w:t xml:space="preserve"> </w:t>
            </w:r>
            <w:r>
              <w:rPr>
                <w:rFonts w:ascii="Times New Roman" w:hAnsi="Times New Roman" w:cs="Times New Roman"/>
                <w:color w:val="#000000"/>
                <w:sz w:val="24"/>
                <w:szCs w:val="24"/>
              </w:rPr>
              <w:t>Twitter,</w:t>
            </w:r>
            <w:r>
              <w:rPr/>
              <w:t xml:space="preserve"> </w:t>
            </w:r>
            <w:r>
              <w:rPr>
                <w:rFonts w:ascii="Times New Roman" w:hAnsi="Times New Roman" w:cs="Times New Roman"/>
                <w:color w:val="#000000"/>
                <w:sz w:val="24"/>
                <w:szCs w:val="24"/>
              </w:rPr>
              <w:t>Google+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http://www.iprbookshop.ru/86789.html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2023-2024_ФГОС3++2023_Бак-ЗФО-РСО(23)_plx_Планирование рекламных и PR-кампаний в сети интернет</dc:title>
  <dc:creator>FastReport.NET</dc:creator>
</cp:coreProperties>
</file>